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000"/>
        <w:jc w:val="center"/>
      </w:pPr>
      <w:r>
        <w:rPr>
          <w:rFonts w:ascii="Arial" w:cs="Arial" w:eastAsia="Arial" w:hAnsi="Arial"/>
          <w:b/>
          <w:bCs/>
          <w:color w:val="1B3A5C"/>
          <w:sz w:val="48"/>
          <w:szCs w:val="48"/>
        </w:rPr>
        <w:t xml:space="preserve">OpenClaw Version Management Policy</w:t>
      </w:r>
    </w:p>
    <w:p>
      <w:pPr>
        <w:spacing w:after="200"/>
        <w:jc w:val="center"/>
      </w:pPr>
      <w:r>
        <w:rPr>
          <w:rFonts w:ascii="Arial" w:cs="Arial" w:eastAsia="Arial" w:hAnsi="Arial"/>
          <w:color w:val="666666"/>
          <w:sz w:val="28"/>
          <w:szCs w:val="28"/>
        </w:rPr>
        <w:t xml:space="preserve">LetsBe Biz Platform</w:t>
      </w:r>
    </w:p>
    <w:p>
      <w:pPr>
        <w:spacing w:after="600"/>
        <w:jc w:val="center"/>
      </w:pPr>
      <w:r>
        <w:rPr>
          <w:rFonts w:ascii="Arial" w:cs="Arial" w:eastAsia="Arial" w:hAnsi="Arial"/>
          <w:color w:val="999999"/>
          <w:sz w:val="22"/>
          <w:szCs w:val="22"/>
        </w:rPr>
        <w:t xml:space="preserve">Internal Operations Document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0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Value</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Version</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1.0</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Date</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February 27, 2026</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Author</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Matt (Founder) + Claude (Architecture)</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Status</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Living Document</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Classification</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Internal — Engineering &amp; Operations</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Companion Docs</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Secrets Management Guide, 03-DEPLOYMENT-STRATEGY, 08-CICD-STRATEGY</w:t>
            </w:r>
          </w:p>
        </w:tc>
      </w:tr>
    </w:tbl>
    <w:p>
      <w:r>
        <w:br w:type="page"/>
      </w:r>
    </w:p>
    <w:p>
      <w:pPr>
        <w:pStyle w:val="Heading1"/>
      </w:pPr>
      <w:r>
        <w:t xml:space="preserve">1. Purpose</w:t>
      </w:r>
    </w:p>
    <w:p>
      <w:pPr>
        <w:spacing w:after="120"/>
      </w:pPr>
      <w:r>
        <w:rPr>
          <w:rFonts w:ascii="Arial" w:cs="Arial" w:eastAsia="Arial" w:hAnsi="Arial"/>
          <w:sz w:val="22"/>
          <w:szCs w:val="22"/>
        </w:rPr>
        <w:t xml:space="preserve">OpenClaw is the AI agent runtime at the core of every LetsBe tenant VPS. It is an upstream open-source project that releases updates every few days. This document defines how LetsBe manages OpenClaw as a dependency: when to upgrade, how to test, how to roll out, and how to roll back.</w:t>
      </w:r>
    </w:p>
    <w:p>
      <w:pPr>
        <w:spacing w:after="120"/>
      </w:pPr>
      <w:r>
        <w:rPr>
          <w:rFonts w:ascii="Arial" w:cs="Arial" w:eastAsia="Arial" w:hAnsi="Arial"/>
          <w:sz w:val="22"/>
          <w:szCs w:val="22"/>
        </w:rPr>
        <w:t xml:space="preserve">The goal is to benefit from upstream improvements (security patches, new features, performance gains) without risking customer-facing breakage from untested changes.</w:t>
      </w:r>
    </w:p>
    <w:p>
      <w:pPr>
        <w:pStyle w:val="Heading1"/>
      </w:pPr>
      <w:r>
        <w:t xml:space="preserve">2. Architectural Relationship</w:t>
      </w:r>
    </w:p>
    <w:p>
      <w:pPr>
        <w:spacing w:after="120"/>
      </w:pPr>
      <w:r>
        <w:rPr>
          <w:rFonts w:ascii="Arial" w:cs="Arial" w:eastAsia="Arial" w:hAnsi="Arial"/>
          <w:sz w:val="22"/>
          <w:szCs w:val="22"/>
        </w:rPr>
        <w:t xml:space="preserve">LetsBe treats OpenClaw as an upstream dependency, not a fork. All LetsBe-specific logic lives in separate processes (Safety Wrapper and Secrets Proxy) that communicate with OpenClaw over HTTP. This means:</w:t>
      </w:r>
    </w:p>
    <w:p>
      <w:pPr>
        <w:pStyle w:val="ListParagraph"/>
        <w:numPr>
          <w:ilvl w:val="0"/>
          <w:numId w:val="2"/>
        </w:numPr>
        <w:spacing w:after="60"/>
      </w:pPr>
      <w:r>
        <w:rPr>
          <w:rFonts w:ascii="Arial" w:cs="Arial" w:eastAsia="Arial" w:hAnsi="Arial"/>
          <w:sz w:val="22"/>
          <w:szCs w:val="22"/>
        </w:rPr>
        <w:t xml:space="preserve">Upstream security patches apply cleanly — no merge conflicts</w:t>
      </w:r>
    </w:p>
    <w:p>
      <w:pPr>
        <w:pStyle w:val="ListParagraph"/>
        <w:numPr>
          <w:ilvl w:val="0"/>
          <w:numId w:val="2"/>
        </w:numPr>
        <w:spacing w:after="60"/>
      </w:pPr>
      <w:r>
        <w:rPr>
          <w:rFonts w:ascii="Arial" w:cs="Arial" w:eastAsia="Arial" w:hAnsi="Arial"/>
          <w:sz w:val="22"/>
          <w:szCs w:val="22"/>
        </w:rPr>
        <w:t xml:space="preserve">New OpenClaw features are available without code changes on our side</w:t>
      </w:r>
    </w:p>
    <w:p>
      <w:pPr>
        <w:pStyle w:val="ListParagraph"/>
        <w:numPr>
          <w:ilvl w:val="0"/>
          <w:numId w:val="2"/>
        </w:numPr>
        <w:spacing w:after="60"/>
      </w:pPr>
      <w:r>
        <w:rPr>
          <w:rFonts w:ascii="Arial" w:cs="Arial" w:eastAsia="Arial" w:hAnsi="Arial"/>
          <w:sz w:val="22"/>
          <w:szCs w:val="22"/>
        </w:rPr>
        <w:t xml:space="preserve">We pin to a tested release tag and upgrade on our schedule</w:t>
      </w:r>
    </w:p>
    <w:p>
      <w:pPr>
        <w:pStyle w:val="ListParagraph"/>
        <w:numPr>
          <w:ilvl w:val="0"/>
          <w:numId w:val="2"/>
        </w:numPr>
        <w:spacing w:after="60"/>
      </w:pPr>
      <w:r>
        <w:rPr>
          <w:rFonts w:ascii="Arial" w:cs="Arial" w:eastAsia="Arial" w:hAnsi="Arial"/>
          <w:sz w:val="22"/>
          <w:szCs w:val="22"/>
        </w:rPr>
        <w:t xml:space="preserve">OpenClaw has no knowledge of or dependency on LetsBe code</w:t>
      </w:r>
    </w:p>
    <w:p>
      <w:pPr>
        <w:spacing w:after="120"/>
      </w:pPr>
      <w:r>
        <w:rPr>
          <w:rFonts w:ascii="Arial" w:cs="Arial" w:eastAsia="Arial" w:hAnsi="Arial"/>
          <w:b/>
          <w:bCs/>
          <w:sz w:val="22"/>
          <w:szCs w:val="22"/>
        </w:rPr>
        <w:t xml:space="preserve">Integration points (where OpenClaw touches LetsBe):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4200"/>
        <w:gridCol w:w="2626"/>
      </w:tblGrid>
      <w:tr>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Integration Point</w:t>
            </w:r>
          </w:p>
        </w:tc>
        <w:tc>
          <w:tcPr>
            <w:tcW w:type="dxa" w:w="4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How It Works</w:t>
            </w:r>
          </w:p>
        </w:tc>
        <w:tc>
          <w:tcPr>
            <w:tcW w:type="dxa" w:w="26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Break Risk</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LLM routing</w:t>
            </w:r>
          </w:p>
        </w:tc>
        <w:tc>
          <w:tcPr>
            <w:tcW w:type="dxa" w:w="4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OpenClaw sends LLM requests to Safety Wrapper (localhost:8200) which forwards to Secrets Proxy (localhost:8100). Configured via openclaw.json baseUrl.</w:t>
            </w:r>
          </w:p>
        </w:tc>
        <w:tc>
          <w:tcPr>
            <w:tcW w:type="dxa" w:w="2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Medium — if config format changes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Tool execution</w:t>
            </w:r>
          </w:p>
        </w:tc>
        <w:tc>
          <w:tcPr>
            <w:tcW w:type="dxa" w:w="4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OpenClaw dispatches tool calls. Safety Wrapper intercepts via HTTP API to classify and gate commands.</w:t>
            </w:r>
          </w:p>
        </w:tc>
        <w:tc>
          <w:tcPr>
            <w:tcW w:type="dxa" w:w="26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Medium — if tool dispatch protocol changes</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Agent configuration</w:t>
            </w:r>
          </w:p>
        </w:tc>
        <w:tc>
          <w:tcPr>
            <w:tcW w:type="dxa" w:w="4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SOUL.md and SKILL.md files define agent behavior. Placed in ~/.openclaw/agents/ and ~/.openclaw/skills/.</w:t>
            </w:r>
          </w:p>
        </w:tc>
        <w:tc>
          <w:tcPr>
            <w:tcW w:type="dxa" w:w="2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Low — file format is stable</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Session storage</w:t>
            </w:r>
          </w:p>
        </w:tc>
        <w:tc>
          <w:tcPr>
            <w:tcW w:type="dxa" w:w="4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OpenClaw stores conversation transcripts locally. Safety Wrapper reads for audit purposes.</w:t>
            </w:r>
          </w:p>
        </w:tc>
        <w:tc>
          <w:tcPr>
            <w:tcW w:type="dxa" w:w="26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Low — storage format rarely changes</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CLI commands</w:t>
            </w:r>
          </w:p>
        </w:tc>
        <w:tc>
          <w:tcPr>
            <w:tcW w:type="dxa" w:w="4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The openclaw CLI (e.g., openclaw secrets, openclaw config) may be used in provisioning scripts.</w:t>
            </w:r>
          </w:p>
        </w:tc>
        <w:tc>
          <w:tcPr>
            <w:tcW w:type="dxa" w:w="2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Medium — CLI flags and subcommands change between releases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Docker image</w:t>
            </w:r>
          </w:p>
        </w:tc>
        <w:tc>
          <w:tcPr>
            <w:tcW w:type="dxa" w:w="4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LetsBe builds a custom image FROM openclaw/openclaw:&lt;tag&gt; adding CLI tools.</w:t>
            </w:r>
          </w:p>
        </w:tc>
        <w:tc>
          <w:tcPr>
            <w:tcW w:type="dxa" w:w="26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Low — base image interface is stable</w:t>
            </w:r>
          </w:p>
        </w:tc>
      </w:tr>
    </w:tbl>
    <w:p>
      <w:r>
        <w:br w:type="page"/>
      </w:r>
    </w:p>
    <w:p>
      <w:pPr>
        <w:pStyle w:val="Heading1"/>
      </w:pPr>
      <w:r>
        <w:t xml:space="preserve">3. Version Pinning Strategy</w:t>
      </w:r>
    </w:p>
    <w:p>
      <w:pPr>
        <w:pStyle w:val="Heading2"/>
      </w:pPr>
      <w:r>
        <w:t xml:space="preserve">3.1 How We Pin</w:t>
      </w:r>
    </w:p>
    <w:p>
      <w:pPr>
        <w:spacing w:after="120"/>
      </w:pPr>
      <w:r>
        <w:rPr>
          <w:rFonts w:ascii="Arial" w:cs="Arial" w:eastAsia="Arial" w:hAnsi="Arial"/>
          <w:sz w:val="22"/>
          <w:szCs w:val="22"/>
        </w:rPr>
        <w:t xml:space="preserve">OpenClaw versions are pinned in exactly two places:</w:t>
      </w:r>
    </w:p>
    <w:p>
      <w:pPr>
        <w:pStyle w:val="ListParagraph"/>
        <w:numPr>
          <w:ilvl w:val="0"/>
          <w:numId w:val="2"/>
        </w:numPr>
        <w:spacing w:after="60"/>
      </w:pPr>
      <w:r>
        <w:rPr>
          <w:rFonts w:ascii="Arial" w:cs="Arial" w:eastAsia="Arial" w:hAnsi="Arial"/>
          <w:sz w:val="22"/>
          <w:szCs w:val="22"/>
        </w:rPr>
        <w:t xml:space="preserve">Docker image tag in the LetsBe OpenClaw Dockerfile: FROM openclaw/openclaw:&lt;tag&gt;</w:t>
      </w:r>
    </w:p>
    <w:p>
      <w:pPr>
        <w:pStyle w:val="ListParagraph"/>
        <w:numPr>
          <w:ilvl w:val="0"/>
          <w:numId w:val="2"/>
        </w:numPr>
        <w:spacing w:after="60"/>
      </w:pPr>
      <w:r>
        <w:rPr>
          <w:rFonts w:ascii="Arial" w:cs="Arial" w:eastAsia="Arial" w:hAnsi="Arial"/>
          <w:sz w:val="22"/>
          <w:szCs w:val="22"/>
        </w:rPr>
        <w:t xml:space="preserve">The tag is a specific release version (e.g., 2026.2.6-3), never :latest or a branch name</w:t>
      </w:r>
    </w:p>
    <w:p>
      <w:pPr>
        <w:spacing w:after="120"/>
      </w:pPr>
      <w:r>
        <w:rPr>
          <w:rFonts w:ascii="Arial" w:cs="Arial" w:eastAsia="Arial" w:hAnsi="Arial"/>
          <w:sz w:val="22"/>
          <w:szCs w:val="22"/>
        </w:rPr>
        <w:t xml:space="preserve">The Dockerfile lives in the monorepo at packages/openclaw-image/Dockerfile. Changing the pinned version requires a PR, CI checks, and approval — just like any other code change.</w:t>
      </w:r>
    </w:p>
    <w:p>
      <w:pPr>
        <w:pStyle w:val="Heading2"/>
      </w:pPr>
      <w:r>
        <w:t xml:space="preserve">3.2 Version Format</w:t>
      </w:r>
    </w:p>
    <w:p>
      <w:pPr>
        <w:spacing w:after="120"/>
      </w:pPr>
      <w:r>
        <w:rPr>
          <w:rFonts w:ascii="Arial" w:cs="Arial" w:eastAsia="Arial" w:hAnsi="Arial"/>
          <w:sz w:val="22"/>
          <w:szCs w:val="22"/>
        </w:rPr>
        <w:t xml:space="preserve">OpenClaw uses calendar versioning: YYYY.M.D with an optional patch suffix (e.g., 2026.2.26, 2026.2.6-3). LetsBe tracks the Docker Hub tags published by the OpenClaw project.</w:t>
      </w:r>
    </w:p>
    <w:p>
      <w:pPr>
        <w:pStyle w:val="Heading2"/>
      </w:pPr>
      <w:r>
        <w:t xml:space="preserve">3.3 What NOT To Do</w:t>
      </w:r>
    </w:p>
    <w:p>
      <w:pPr>
        <w:pStyle w:val="ListParagraph"/>
        <w:numPr>
          <w:ilvl w:val="0"/>
          <w:numId w:val="2"/>
        </w:numPr>
        <w:spacing w:after="60"/>
      </w:pPr>
      <w:r>
        <w:rPr>
          <w:rFonts w:ascii="Arial" w:cs="Arial" w:eastAsia="Arial" w:hAnsi="Arial"/>
          <w:sz w:val="22"/>
          <w:szCs w:val="22"/>
        </w:rPr>
        <w:t xml:space="preserve">Never pin to :latest — this pulls whatever was last pushed and is not reproducible</w:t>
      </w:r>
    </w:p>
    <w:p>
      <w:pPr>
        <w:pStyle w:val="ListParagraph"/>
        <w:numPr>
          <w:ilvl w:val="0"/>
          <w:numId w:val="2"/>
        </w:numPr>
        <w:spacing w:after="60"/>
      </w:pPr>
      <w:r>
        <w:rPr>
          <w:rFonts w:ascii="Arial" w:cs="Arial" w:eastAsia="Arial" w:hAnsi="Arial"/>
          <w:sz w:val="22"/>
          <w:szCs w:val="22"/>
        </w:rPr>
        <w:t xml:space="preserve">Never pin to a branch (e.g., :main) — same problem</w:t>
      </w:r>
    </w:p>
    <w:p>
      <w:pPr>
        <w:pStyle w:val="ListParagraph"/>
        <w:numPr>
          <w:ilvl w:val="0"/>
          <w:numId w:val="2"/>
        </w:numPr>
        <w:spacing w:after="60"/>
      </w:pPr>
      <w:r>
        <w:rPr>
          <w:rFonts w:ascii="Arial" w:cs="Arial" w:eastAsia="Arial" w:hAnsi="Arial"/>
          <w:sz w:val="22"/>
          <w:szCs w:val="22"/>
        </w:rPr>
        <w:t xml:space="preserve">Never clone OpenClaw source into the monorepo as a git submodule — treat it as a Docker image dependency only</w:t>
      </w:r>
    </w:p>
    <w:p>
      <w:pPr>
        <w:pStyle w:val="ListParagraph"/>
        <w:numPr>
          <w:ilvl w:val="0"/>
          <w:numId w:val="2"/>
        </w:numPr>
        <w:spacing w:after="60"/>
      </w:pPr>
      <w:r>
        <w:rPr>
          <w:rFonts w:ascii="Arial" w:cs="Arial" w:eastAsia="Arial" w:hAnsi="Arial"/>
          <w:sz w:val="22"/>
          <w:szCs w:val="22"/>
        </w:rPr>
        <w:t xml:space="preserve">Never fork OpenClaw — maintain all customization in Safety Wrapper and Secrets Proxy</w:t>
      </w:r>
    </w:p>
    <w:p>
      <w:r>
        <w:br w:type="page"/>
      </w:r>
    </w:p>
    <w:p>
      <w:pPr>
        <w:pStyle w:val="Heading1"/>
      </w:pPr>
      <w:r>
        <w:t xml:space="preserve">4. Bi-Weekly Review Cadence</w:t>
      </w:r>
    </w:p>
    <w:p>
      <w:pPr>
        <w:spacing w:after="120"/>
      </w:pPr>
      <w:r>
        <w:rPr>
          <w:rFonts w:ascii="Arial" w:cs="Arial" w:eastAsia="Arial" w:hAnsi="Arial"/>
          <w:sz w:val="22"/>
          <w:szCs w:val="22"/>
        </w:rPr>
        <w:t xml:space="preserve">Every two weeks, an engineer reviews the OpenClaw changelog and decides whether to upgrade. This is a scheduled recurring task, not ad-hoc.</w:t>
      </w:r>
    </w:p>
    <w:p>
      <w:pPr>
        <w:pStyle w:val="Heading2"/>
      </w:pPr>
      <w:r>
        <w:t xml:space="preserve">4.1 Review Schedule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2000"/>
        <w:gridCol w:w="1626"/>
      </w:tblGrid>
      <w:tr>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When</w:t>
            </w:r>
          </w:p>
        </w:tc>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What</w:t>
            </w:r>
          </w:p>
        </w:tc>
        <w:tc>
          <w:tcPr>
            <w:tcW w:type="dxa" w:w="2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Who</w:t>
            </w:r>
          </w:p>
        </w:tc>
        <w:tc>
          <w:tcPr>
            <w:tcW w:type="dxa" w:w="16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Time Budget</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Every other Monday</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Review OpenClaw changelog entries since last review</w:t>
            </w:r>
          </w:p>
        </w:tc>
        <w:tc>
          <w:tcPr>
            <w:tcW w:type="dxa" w:w="2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Assigned engineer (rotating)</w:t>
            </w:r>
          </w:p>
        </w:tc>
        <w:tc>
          <w:tcPr>
            <w:tcW w:type="dxa" w:w="1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30–60 minutes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Same day (if upgrade warranted)</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Create PR updating the pinned version</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Same engineer</w:t>
            </w:r>
          </w:p>
        </w:tc>
        <w:tc>
          <w:tcPr>
            <w:tcW w:type="dxa" w:w="16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15–30 minutes</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Within 48 hours</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Test on staging VPS</w:t>
            </w:r>
          </w:p>
        </w:tc>
        <w:tc>
          <w:tcPr>
            <w:tcW w:type="dxa" w:w="2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Same engineer or On-Call</w:t>
            </w:r>
          </w:p>
        </w:tc>
        <w:tc>
          <w:tcPr>
            <w:tcW w:type="dxa" w:w="1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1–2 hours</w:t>
            </w:r>
          </w:p>
        </w:tc>
      </w:tr>
    </w:tbl>
    <w:p>
      <w:pPr>
        <w:pStyle w:val="Heading2"/>
      </w:pPr>
      <w:r>
        <w:t xml:space="preserve">4.2 Changelog Review Checklist</w:t>
      </w:r>
    </w:p>
    <w:p>
      <w:pPr>
        <w:spacing w:after="120"/>
      </w:pPr>
      <w:r>
        <w:rPr>
          <w:rFonts w:ascii="Arial" w:cs="Arial" w:eastAsia="Arial" w:hAnsi="Arial"/>
          <w:sz w:val="22"/>
          <w:szCs w:val="22"/>
        </w:rPr>
        <w:t xml:space="preserve">When reviewing the changelog, categorize each change: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00"/>
        <w:gridCol w:w="3200"/>
        <w:gridCol w:w="3626"/>
      </w:tblGrid>
      <w:tr>
        <w:tc>
          <w:tcPr>
            <w:tcW w:type="dxa" w:w="2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Category</w:t>
            </w:r>
          </w:p>
        </w:tc>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Action</w:t>
            </w:r>
          </w:p>
        </w:tc>
        <w:tc>
          <w:tcPr>
            <w:tcW w:type="dxa" w:w="36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Examples</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Security fix</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Upgrade immediately (skip bi-weekly schedule)</w:t>
            </w:r>
          </w:p>
        </w:tc>
        <w:tc>
          <w:tcPr>
            <w:tcW w:type="dxa" w:w="3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CVE patches, auth bypass fixes, secrets handling changes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Bug fix affecting LetsBe</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Upgrade at next review</w:t>
            </w:r>
          </w:p>
        </w:tc>
        <w:tc>
          <w:tcPr>
            <w:tcW w:type="dxa" w:w="36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Tool dispatch bugs, session corruption, config parsing errors</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New feature we can use</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Upgrade at next review, note feature in PR description</w:t>
            </w:r>
          </w:p>
        </w:tc>
        <w:tc>
          <w:tcPr>
            <w:tcW w:type="dxa" w:w="3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New CLI commands, improved caching, new integrations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Breaking change</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Evaluate carefully — may require Safety Wrapper or config updates</w:t>
            </w:r>
          </w:p>
        </w:tc>
        <w:tc>
          <w:tcPr>
            <w:tcW w:type="dxa" w:w="36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API changes, config format changes, removed CLI flags</w:t>
            </w:r>
          </w:p>
        </w:tc>
      </w:tr>
      <w:tr>
        <w:tc>
          <w:tcPr>
            <w:tcW w:type="dxa" w:w="2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Irrelevant change</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Skip — no upgrade needed</w:t>
            </w:r>
          </w:p>
        </w:tc>
        <w:tc>
          <w:tcPr>
            <w:tcW w:type="dxa" w:w="36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UI changes for OpenClaw’s native web interface, unrelated integrations</w:t>
            </w:r>
          </w:p>
        </w:tc>
      </w:tr>
    </w:tbl>
    <w:p>
      <w:pPr>
        <w:pStyle w:val="Heading2"/>
      </w:pPr>
      <w:r>
        <w:t xml:space="preserve">4.3 Decision: Upgrade or Skip?</w:t>
      </w:r>
    </w:p>
    <w:p>
      <w:pPr>
        <w:spacing w:after="120"/>
      </w:pPr>
      <w:r>
        <w:rPr>
          <w:rFonts w:ascii="Arial" w:cs="Arial" w:eastAsia="Arial" w:hAnsi="Arial"/>
          <w:b/>
          <w:bCs/>
          <w:sz w:val="22"/>
          <w:szCs w:val="22"/>
        </w:rPr>
        <w:t xml:space="preserve">Upgrade if ANY of these are true:</w:t>
      </w:r>
    </w:p>
    <w:p>
      <w:pPr>
        <w:pStyle w:val="ListParagraph"/>
        <w:numPr>
          <w:ilvl w:val="0"/>
          <w:numId w:val="2"/>
        </w:numPr>
        <w:spacing w:after="60"/>
      </w:pPr>
      <w:r>
        <w:rPr>
          <w:rFonts w:ascii="Arial" w:cs="Arial" w:eastAsia="Arial" w:hAnsi="Arial"/>
          <w:sz w:val="22"/>
          <w:szCs w:val="22"/>
        </w:rPr>
        <w:t xml:space="preserve">Security fix (always upgrade, expedited)</w:t>
      </w:r>
    </w:p>
    <w:p>
      <w:pPr>
        <w:pStyle w:val="ListParagraph"/>
        <w:numPr>
          <w:ilvl w:val="0"/>
          <w:numId w:val="2"/>
        </w:numPr>
        <w:spacing w:after="60"/>
      </w:pPr>
      <w:r>
        <w:rPr>
          <w:rFonts w:ascii="Arial" w:cs="Arial" w:eastAsia="Arial" w:hAnsi="Arial"/>
          <w:sz w:val="22"/>
          <w:szCs w:val="22"/>
        </w:rPr>
        <w:t xml:space="preserve">Bug fix that affects a codepath LetsBe uses</w:t>
      </w:r>
    </w:p>
    <w:p>
      <w:pPr>
        <w:pStyle w:val="ListParagraph"/>
        <w:numPr>
          <w:ilvl w:val="0"/>
          <w:numId w:val="2"/>
        </w:numPr>
        <w:spacing w:after="60"/>
      </w:pPr>
      <w:r>
        <w:rPr>
          <w:rFonts w:ascii="Arial" w:cs="Arial" w:eastAsia="Arial" w:hAnsi="Arial"/>
          <w:sz w:val="22"/>
          <w:szCs w:val="22"/>
        </w:rPr>
        <w:t xml:space="preserve">New feature that reduces our implementation work</w:t>
      </w:r>
    </w:p>
    <w:p>
      <w:pPr>
        <w:pStyle w:val="ListParagraph"/>
        <w:numPr>
          <w:ilvl w:val="0"/>
          <w:numId w:val="2"/>
        </w:numPr>
        <w:spacing w:after="60"/>
      </w:pPr>
      <w:r>
        <w:rPr>
          <w:rFonts w:ascii="Arial" w:cs="Arial" w:eastAsia="Arial" w:hAnsi="Arial"/>
          <w:sz w:val="22"/>
          <w:szCs w:val="22"/>
        </w:rPr>
        <w:t xml:space="preserve">Performance improvement for LLM routing or tool execution</w:t>
      </w:r>
    </w:p>
    <w:p>
      <w:pPr>
        <w:spacing w:after="120"/>
      </w:pPr>
      <w:r>
        <w:rPr>
          <w:rFonts w:ascii="Arial" w:cs="Arial" w:eastAsia="Arial" w:hAnsi="Arial"/>
          <w:b/>
          <w:bCs/>
          <w:sz w:val="22"/>
          <w:szCs w:val="22"/>
        </w:rPr>
        <w:t xml:space="preserve">Skip if ALL of these are true:</w:t>
      </w:r>
    </w:p>
    <w:p>
      <w:pPr>
        <w:pStyle w:val="ListParagraph"/>
        <w:numPr>
          <w:ilvl w:val="0"/>
          <w:numId w:val="2"/>
        </w:numPr>
        <w:spacing w:after="60"/>
      </w:pPr>
      <w:r>
        <w:rPr>
          <w:rFonts w:ascii="Arial" w:cs="Arial" w:eastAsia="Arial" w:hAnsi="Arial"/>
          <w:sz w:val="22"/>
          <w:szCs w:val="22"/>
        </w:rPr>
        <w:t xml:space="preserve">No security fixes</w:t>
      </w:r>
    </w:p>
    <w:p>
      <w:pPr>
        <w:pStyle w:val="ListParagraph"/>
        <w:numPr>
          <w:ilvl w:val="0"/>
          <w:numId w:val="2"/>
        </w:numPr>
        <w:spacing w:after="60"/>
      </w:pPr>
      <w:r>
        <w:rPr>
          <w:rFonts w:ascii="Arial" w:cs="Arial" w:eastAsia="Arial" w:hAnsi="Arial"/>
          <w:sz w:val="22"/>
          <w:szCs w:val="22"/>
        </w:rPr>
        <w:t xml:space="preserve">No bug fixes relevant to our integration points</w:t>
      </w:r>
    </w:p>
    <w:p>
      <w:pPr>
        <w:pStyle w:val="ListParagraph"/>
        <w:numPr>
          <w:ilvl w:val="0"/>
          <w:numId w:val="2"/>
        </w:numPr>
        <w:spacing w:after="60"/>
      </w:pPr>
      <w:r>
        <w:rPr>
          <w:rFonts w:ascii="Arial" w:cs="Arial" w:eastAsia="Arial" w:hAnsi="Arial"/>
          <w:sz w:val="22"/>
          <w:szCs w:val="22"/>
        </w:rPr>
        <w:t xml:space="preserve">No features we need</w:t>
      </w:r>
    </w:p>
    <w:p>
      <w:pPr>
        <w:pStyle w:val="ListParagraph"/>
        <w:numPr>
          <w:ilvl w:val="0"/>
          <w:numId w:val="2"/>
        </w:numPr>
        <w:spacing w:after="60"/>
      </w:pPr>
      <w:r>
        <w:rPr>
          <w:rFonts w:ascii="Arial" w:cs="Arial" w:eastAsia="Arial" w:hAnsi="Arial"/>
          <w:sz w:val="22"/>
          <w:szCs w:val="22"/>
        </w:rPr>
        <w:t xml:space="preserve">Breaking changes that would require Safety Wrapper updates</w:t>
      </w:r>
    </w:p>
    <w:p>
      <w:r>
        <w:br w:type="page"/>
      </w:r>
    </w:p>
    <w:p>
      <w:pPr>
        <w:pStyle w:val="Heading1"/>
      </w:pPr>
      <w:r>
        <w:t xml:space="preserve">5. Compatibility Testing Checklist</w:t>
      </w:r>
    </w:p>
    <w:p>
      <w:pPr>
        <w:spacing w:after="120"/>
      </w:pPr>
      <w:r>
        <w:rPr>
          <w:rFonts w:ascii="Arial" w:cs="Arial" w:eastAsia="Arial" w:hAnsi="Arial"/>
          <w:sz w:val="22"/>
          <w:szCs w:val="22"/>
        </w:rPr>
        <w:t xml:space="preserve">Before any OpenClaw upgrade reaches production, run through this checklist on the staging VPS. Each item must pass. If any item fails, the upgrade is blocked until the issue is resolved or the release is skipped.</w:t>
      </w:r>
    </w:p>
    <w:p>
      <w:pPr>
        <w:pStyle w:val="Heading2"/>
      </w:pPr>
      <w:r>
        <w:t xml:space="preserve">5.1 Pre-Upgrade Checks (before pulling new image)</w:t>
      </w:r>
    </w:p>
    <w:p>
      <w:pPr>
        <w:pStyle w:val="ListParagraph"/>
        <w:numPr>
          <w:ilvl w:val="0"/>
          <w:numId w:val="3"/>
        </w:numPr>
        <w:spacing w:after="60"/>
      </w:pPr>
      <w:r>
        <w:rPr>
          <w:rFonts w:ascii="Arial" w:cs="Arial" w:eastAsia="Arial" w:hAnsi="Arial"/>
          <w:sz w:val="22"/>
          <w:szCs w:val="22"/>
        </w:rPr>
        <w:t xml:space="preserve">Read the full changelog between current pinned version and target version. Note any mentions of: config format changes, CLI changes, API changes, deprecations, removed features.</w:t>
      </w:r>
    </w:p>
    <w:p>
      <w:pPr>
        <w:pStyle w:val="ListParagraph"/>
        <w:numPr>
          <w:ilvl w:val="0"/>
          <w:numId w:val="3"/>
        </w:numPr>
        <w:spacing w:after="60"/>
      </w:pPr>
      <w:r>
        <w:rPr>
          <w:rFonts w:ascii="Arial" w:cs="Arial" w:eastAsia="Arial" w:hAnsi="Arial"/>
          <w:sz w:val="22"/>
          <w:szCs w:val="22"/>
        </w:rPr>
        <w:t xml:space="preserve">Check if the target version changes the base Docker image (Alpine version, Node.js version). If so, verify our custom image (packages/openclaw-image/Dockerfile) still builds.</w:t>
      </w:r>
    </w:p>
    <w:p>
      <w:pPr>
        <w:pStyle w:val="ListParagraph"/>
        <w:numPr>
          <w:ilvl w:val="0"/>
          <w:numId w:val="3"/>
        </w:numPr>
        <w:spacing w:after="60"/>
      </w:pPr>
      <w:r>
        <w:rPr>
          <w:rFonts w:ascii="Arial" w:cs="Arial" w:eastAsia="Arial" w:hAnsi="Arial"/>
          <w:sz w:val="22"/>
          <w:szCs w:val="22"/>
        </w:rPr>
        <w:t xml:space="preserve">Search the OpenClaw GitHub issues for reports of regressions in the target version.</w:t>
      </w:r>
    </w:p>
    <w:p>
      <w:pPr>
        <w:pStyle w:val="Heading2"/>
      </w:pPr>
      <w:r>
        <w:t xml:space="preserve">5.2 Staging Deployment Checks</w:t>
      </w:r>
    </w:p>
    <w:p>
      <w:pPr>
        <w:pStyle w:val="ListParagraph"/>
        <w:numPr>
          <w:ilvl w:val="0"/>
          <w:numId w:val="4"/>
        </w:numPr>
        <w:spacing w:after="60"/>
      </w:pPr>
      <w:r>
        <w:rPr>
          <w:rFonts w:ascii="Arial" w:cs="Arial" w:eastAsia="Arial" w:hAnsi="Arial"/>
          <w:sz w:val="22"/>
          <w:szCs w:val="22"/>
        </w:rPr>
        <w:t xml:space="preserve">Build the custom OpenClaw image with the new tag: docker build -t letsbe/openclaw:test .</w:t>
      </w:r>
    </w:p>
    <w:p>
      <w:pPr>
        <w:pStyle w:val="ListParagraph"/>
        <w:numPr>
          <w:ilvl w:val="0"/>
          <w:numId w:val="4"/>
        </w:numPr>
        <w:spacing w:after="60"/>
      </w:pPr>
      <w:r>
        <w:rPr>
          <w:rFonts w:ascii="Arial" w:cs="Arial" w:eastAsia="Arial" w:hAnsi="Arial"/>
          <w:sz w:val="22"/>
          <w:szCs w:val="22"/>
        </w:rPr>
        <w:t xml:space="preserve">Deploy to staging VPS: update docker-compose.letsbe.yml, pull, restart.</w:t>
      </w:r>
    </w:p>
    <w:p>
      <w:pPr>
        <w:pStyle w:val="ListParagraph"/>
        <w:numPr>
          <w:ilvl w:val="0"/>
          <w:numId w:val="4"/>
        </w:numPr>
        <w:spacing w:after="60"/>
      </w:pPr>
      <w:r>
        <w:rPr>
          <w:rFonts w:ascii="Arial" w:cs="Arial" w:eastAsia="Arial" w:hAnsi="Arial"/>
          <w:sz w:val="22"/>
          <w:szCs w:val="22"/>
        </w:rPr>
        <w:t xml:space="preserve">Verify OpenClaw starts successfully: check container logs for errors, verify health endpoint responds.</w:t>
      </w:r>
    </w:p>
    <w:p>
      <w:pPr>
        <w:pStyle w:val="Heading2"/>
      </w:pPr>
      <w:r>
        <w:t xml:space="preserve">5.3 Integration Checks (Safety Wrapper ↔ OpenClaw)</w:t>
      </w:r>
    </w:p>
    <w:p>
      <w:pPr>
        <w:pStyle w:val="ListParagraph"/>
        <w:numPr>
          <w:ilvl w:val="0"/>
          <w:numId w:val="5"/>
        </w:numPr>
        <w:spacing w:after="60"/>
      </w:pPr>
      <w:r>
        <w:rPr>
          <w:rFonts w:ascii="Arial" w:cs="Arial" w:eastAsia="Arial" w:hAnsi="Arial"/>
          <w:sz w:val="22"/>
          <w:szCs w:val="22"/>
        </w:rPr>
        <w:t xml:space="preserve">Verify LLM routing works: send a test prompt through the agent, confirm it reaches the Secrets Proxy and returns a response.</w:t>
      </w:r>
    </w:p>
    <w:p>
      <w:pPr>
        <w:pStyle w:val="ListParagraph"/>
        <w:numPr>
          <w:ilvl w:val="0"/>
          <w:numId w:val="5"/>
        </w:numPr>
        <w:spacing w:after="60"/>
      </w:pPr>
      <w:r>
        <w:rPr>
          <w:rFonts w:ascii="Arial" w:cs="Arial" w:eastAsia="Arial" w:hAnsi="Arial"/>
          <w:sz w:val="22"/>
          <w:szCs w:val="22"/>
        </w:rPr>
        <w:t xml:space="preserve">Verify tool execution works: trigger a shell command via the agent, confirm Safety Wrapper intercepts and classifies it.</w:t>
      </w:r>
    </w:p>
    <w:p>
      <w:pPr>
        <w:pStyle w:val="ListParagraph"/>
        <w:numPr>
          <w:ilvl w:val="0"/>
          <w:numId w:val="5"/>
        </w:numPr>
        <w:spacing w:after="60"/>
      </w:pPr>
      <w:r>
        <w:rPr>
          <w:rFonts w:ascii="Arial" w:cs="Arial" w:eastAsia="Arial" w:hAnsi="Arial"/>
          <w:sz w:val="22"/>
          <w:szCs w:val="22"/>
        </w:rPr>
        <w:t xml:space="preserve">Verify SECRET_REF resolution works: trigger a tool command that uses a SECRET_REF, confirm the Safety Wrapper resolves it and the audit log records the event.</w:t>
      </w:r>
    </w:p>
    <w:p>
      <w:pPr>
        <w:pStyle w:val="ListParagraph"/>
        <w:numPr>
          <w:ilvl w:val="0"/>
          <w:numId w:val="5"/>
        </w:numPr>
        <w:spacing w:after="60"/>
      </w:pPr>
      <w:r>
        <w:rPr>
          <w:rFonts w:ascii="Arial" w:cs="Arial" w:eastAsia="Arial" w:hAnsi="Arial"/>
          <w:sz w:val="22"/>
          <w:szCs w:val="22"/>
        </w:rPr>
        <w:t xml:space="preserve">Verify agent configuration loads: check that SOUL.md and SKILL.md files are read correctly by the new version.</w:t>
      </w:r>
    </w:p>
    <w:p>
      <w:pPr>
        <w:pStyle w:val="ListParagraph"/>
        <w:numPr>
          <w:ilvl w:val="0"/>
          <w:numId w:val="5"/>
        </w:numPr>
        <w:spacing w:after="60"/>
      </w:pPr>
      <w:r>
        <w:rPr>
          <w:rFonts w:ascii="Arial" w:cs="Arial" w:eastAsia="Arial" w:hAnsi="Arial"/>
          <w:sz w:val="22"/>
          <w:szCs w:val="22"/>
        </w:rPr>
        <w:t xml:space="preserve">Verify openclaw.json config is accepted: confirm no deprecation warnings or errors about config format.</w:t>
      </w:r>
    </w:p>
    <w:p>
      <w:pPr>
        <w:pStyle w:val="Heading2"/>
      </w:pPr>
      <w:r>
        <w:t xml:space="preserve">5.4 Secrets Pipeline Checks</w:t>
      </w:r>
    </w:p>
    <w:p>
      <w:pPr>
        <w:pStyle w:val="ListParagraph"/>
        <w:numPr>
          <w:ilvl w:val="0"/>
          <w:numId w:val="6"/>
        </w:numPr>
        <w:spacing w:after="60"/>
      </w:pPr>
      <w:r>
        <w:rPr>
          <w:rFonts w:ascii="Arial" w:cs="Arial" w:eastAsia="Arial" w:hAnsi="Arial"/>
          <w:sz w:val="22"/>
          <w:szCs w:val="22"/>
        </w:rPr>
        <w:t xml:space="preserve">Run the P0 redaction test suite against the staging VPS (50+ tests).</w:t>
      </w:r>
    </w:p>
    <w:p>
      <w:pPr>
        <w:pStyle w:val="ListParagraph"/>
        <w:numPr>
          <w:ilvl w:val="0"/>
          <w:numId w:val="6"/>
        </w:numPr>
        <w:spacing w:after="60"/>
      </w:pPr>
      <w:r>
        <w:rPr>
          <w:rFonts w:ascii="Arial" w:cs="Arial" w:eastAsia="Arial" w:hAnsi="Arial"/>
          <w:sz w:val="22"/>
          <w:szCs w:val="22"/>
        </w:rPr>
        <w:t xml:space="preserve">Verify that the Secrets Proxy still intercepts all outbound LLM traffic (no bypass path introduced).</w:t>
      </w:r>
    </w:p>
    <w:p>
      <w:pPr>
        <w:pStyle w:val="ListParagraph"/>
        <w:numPr>
          <w:ilvl w:val="0"/>
          <w:numId w:val="6"/>
        </w:numPr>
        <w:spacing w:after="60"/>
      </w:pPr>
      <w:r>
        <w:rPr>
          <w:rFonts w:ascii="Arial" w:cs="Arial" w:eastAsia="Arial" w:hAnsi="Arial"/>
          <w:sz w:val="22"/>
          <w:szCs w:val="22"/>
        </w:rPr>
        <w:t xml:space="preserve">Check that the new OpenClaw version does not introduce direct outbound connections that bypass the Secrets Proxy (inspect network traffic with tcpdump or ss).</w:t>
      </w:r>
    </w:p>
    <w:p>
      <w:pPr>
        <w:pStyle w:val="Heading2"/>
      </w:pPr>
      <w:r>
        <w:t xml:space="preserve">5.5 Performance Checks</w:t>
      </w:r>
    </w:p>
    <w:p>
      <w:pPr>
        <w:pStyle w:val="ListParagraph"/>
        <w:numPr>
          <w:ilvl w:val="0"/>
          <w:numId w:val="7"/>
        </w:numPr>
        <w:spacing w:after="60"/>
      </w:pPr>
      <w:r>
        <w:rPr>
          <w:rFonts w:ascii="Arial" w:cs="Arial" w:eastAsia="Arial" w:hAnsi="Arial"/>
          <w:sz w:val="22"/>
          <w:szCs w:val="22"/>
        </w:rPr>
        <w:t xml:space="preserve">Measure cold start time: how long from container start to first successful LLM response?</w:t>
      </w:r>
    </w:p>
    <w:p>
      <w:pPr>
        <w:pStyle w:val="ListParagraph"/>
        <w:numPr>
          <w:ilvl w:val="0"/>
          <w:numId w:val="7"/>
        </w:numPr>
        <w:spacing w:after="60"/>
      </w:pPr>
      <w:r>
        <w:rPr>
          <w:rFonts w:ascii="Arial" w:cs="Arial" w:eastAsia="Arial" w:hAnsi="Arial"/>
          <w:sz w:val="22"/>
          <w:szCs w:val="22"/>
        </w:rPr>
        <w:t xml:space="preserve">Measure LLM round-trip latency: compare baseline (old version) vs. new version. Regression threshold: &gt;15% slower.</w:t>
      </w:r>
    </w:p>
    <w:p>
      <w:pPr>
        <w:pStyle w:val="ListParagraph"/>
        <w:numPr>
          <w:ilvl w:val="0"/>
          <w:numId w:val="7"/>
        </w:numPr>
        <w:spacing w:after="60"/>
      </w:pPr>
      <w:r>
        <w:rPr>
          <w:rFonts w:ascii="Arial" w:cs="Arial" w:eastAsia="Arial" w:hAnsi="Arial"/>
          <w:sz w:val="22"/>
          <w:szCs w:val="22"/>
        </w:rPr>
        <w:t xml:space="preserve">Check memory usage: compare baseline vs. new version. Regression threshold: &gt;20% increase.</w:t>
      </w:r>
    </w:p>
    <w:p>
      <w:pPr>
        <w:pStyle w:val="Heading2"/>
      </w:pPr>
      <w:r>
        <w:t xml:space="preserve">5.6 CLI Compatibility (if provisioning scripts use openclaw CLI)</w:t>
      </w:r>
    </w:p>
    <w:p>
      <w:pPr>
        <w:pStyle w:val="ListParagraph"/>
        <w:numPr>
          <w:ilvl w:val="0"/>
          <w:numId w:val="8"/>
        </w:numPr>
        <w:spacing w:after="60"/>
      </w:pPr>
      <w:r>
        <w:rPr>
          <w:rFonts w:ascii="Arial" w:cs="Arial" w:eastAsia="Arial" w:hAnsi="Arial"/>
          <w:sz w:val="22"/>
          <w:szCs w:val="22"/>
        </w:rPr>
        <w:t xml:space="preserve">Verify all openclaw CLI commands used in provisioning scripts still work with the same flags and output format.</w:t>
      </w:r>
    </w:p>
    <w:p>
      <w:pPr>
        <w:pStyle w:val="ListParagraph"/>
        <w:numPr>
          <w:ilvl w:val="0"/>
          <w:numId w:val="8"/>
        </w:numPr>
        <w:spacing w:after="60"/>
      </w:pPr>
      <w:r>
        <w:rPr>
          <w:rFonts w:ascii="Arial" w:cs="Arial" w:eastAsia="Arial" w:hAnsi="Arial"/>
          <w:sz w:val="22"/>
          <w:szCs w:val="22"/>
        </w:rPr>
        <w:t xml:space="preserve">If new CLI commands are available (e.g., openclaw secrets audit from v2026.2.26), evaluate whether to adopt them.</w:t>
      </w:r>
    </w:p>
    <w:p>
      <w:r>
        <w:br w:type="page"/>
      </w:r>
    </w:p>
    <w:p>
      <w:pPr>
        <w:pStyle w:val="Heading1"/>
      </w:pPr>
      <w:r>
        <w:t xml:space="preserve">6. Rollout Procedure</w:t>
      </w:r>
    </w:p>
    <w:p>
      <w:pPr>
        <w:pStyle w:val="Heading2"/>
      </w:pPr>
      <w:r>
        <w:t xml:space="preserve">6.1 Staged Rollout</w:t>
      </w:r>
    </w:p>
    <w:p>
      <w:pPr>
        <w:spacing w:after="120"/>
      </w:pPr>
      <w:r>
        <w:rPr>
          <w:rFonts w:ascii="Arial" w:cs="Arial" w:eastAsia="Arial" w:hAnsi="Arial"/>
          <w:sz w:val="22"/>
          <w:szCs w:val="22"/>
        </w:rPr>
        <w:t xml:space="preserve">Once staging checks pass, roll out to production tenants in stages. Each stage has a soak period for monitoring.</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000"/>
        <w:gridCol w:w="2500"/>
        <w:gridCol w:w="1800"/>
        <w:gridCol w:w="2726"/>
      </w:tblGrid>
      <w:tr>
        <w:tc>
          <w:tcPr>
            <w:tcW w:type="dxa" w:w="2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Stage</w:t>
            </w:r>
          </w:p>
        </w:tc>
        <w:tc>
          <w:tcPr>
            <w:tcW w:type="dxa" w:w="2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Scope</w:t>
            </w:r>
          </w:p>
        </w:tc>
        <w:tc>
          <w:tcPr>
            <w:tcW w:type="dxa" w:w="18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Soak Period</w:t>
            </w:r>
          </w:p>
        </w:tc>
        <w:tc>
          <w:tcPr>
            <w:tcW w:type="dxa" w:w="27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Rollback Trigger</w:t>
            </w:r>
          </w:p>
        </w:tc>
      </w:tr>
      <w:tr>
        <w:tc>
          <w:tcPr>
            <w:tcW w:type="dxa" w:w="2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 Staging VPS</w:t>
            </w:r>
          </w:p>
        </w:tc>
        <w:tc>
          <w:tcPr>
            <w:tcW w:type="dxa" w:w="2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Internal test tenant only</w:t>
            </w:r>
          </w:p>
        </w:tc>
        <w:tc>
          <w:tcPr>
            <w:tcW w:type="dxa" w:w="18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48 hours</w:t>
            </w:r>
          </w:p>
        </w:tc>
        <w:tc>
          <w:tcPr>
            <w:tcW w:type="dxa" w:w="27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Any test failure</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 Canary (5%)</w:t>
            </w:r>
          </w:p>
        </w:tc>
        <w:tc>
          <w:tcPr>
            <w:tcW w:type="dxa" w:w="2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Newest tenants (lowest blast radius)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24 hours</w:t>
            </w:r>
          </w:p>
        </w:tc>
        <w:tc>
          <w:tcPr>
            <w:tcW w:type="dxa" w:w="27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Any customer-reported issue or monitoring alert</w:t>
            </w:r>
          </w:p>
        </w:tc>
      </w:tr>
      <w:tr>
        <w:tc>
          <w:tcPr>
            <w:tcW w:type="dxa" w:w="2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3. Expansion (25%)</w:t>
            </w:r>
          </w:p>
        </w:tc>
        <w:tc>
          <w:tcPr>
            <w:tcW w:type="dxa" w:w="2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Additional tenants, mixed tenure</w:t>
            </w:r>
          </w:p>
        </w:tc>
        <w:tc>
          <w:tcPr>
            <w:tcW w:type="dxa" w:w="18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12 hours</w:t>
            </w:r>
          </w:p>
        </w:tc>
        <w:tc>
          <w:tcPr>
            <w:tcW w:type="dxa" w:w="27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Error rate increase &gt;2% or latency regression &gt;15%</w:t>
            </w:r>
          </w:p>
        </w:tc>
      </w:tr>
      <w:tr>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4. Full rollout (100%)</w:t>
            </w:r>
          </w:p>
        </w:tc>
        <w:tc>
          <w:tcPr>
            <w:tcW w:type="dxa" w:w="2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All remaining tenants</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Continuous monitoring</w:t>
            </w:r>
          </w:p>
        </w:tc>
        <w:tc>
          <w:tcPr>
            <w:tcW w:type="dxa" w:w="27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Same as Stage 3</w:t>
            </w:r>
          </w:p>
        </w:tc>
      </w:tr>
    </w:tbl>
    <w:p>
      <w:pPr>
        <w:pStyle w:val="Heading2"/>
      </w:pPr>
      <w:r>
        <w:t xml:space="preserve">6.2 How Rollout Works</w:t>
      </w:r>
    </w:p>
    <w:p>
      <w:pPr>
        <w:spacing w:after="120"/>
      </w:pPr>
      <w:r>
        <w:rPr>
          <w:rFonts w:ascii="Arial" w:cs="Arial" w:eastAsia="Arial" w:hAnsi="Arial"/>
          <w:sz w:val="22"/>
          <w:szCs w:val="22"/>
        </w:rPr>
        <w:t xml:space="preserve">Tenant updates are pushed from the Hub, not pulled by tenants. The process:</w:t>
      </w:r>
    </w:p>
    <w:p>
      <w:pPr>
        <w:pStyle w:val="ListParagraph"/>
        <w:numPr>
          <w:ilvl w:val="0"/>
          <w:numId w:val="3"/>
        </w:numPr>
        <w:spacing w:after="60"/>
      </w:pPr>
      <w:r>
        <w:rPr>
          <w:rFonts w:ascii="Arial" w:cs="Arial" w:eastAsia="Arial" w:hAnsi="Arial"/>
          <w:sz w:val="22"/>
          <w:szCs w:val="22"/>
        </w:rPr>
        <w:t xml:space="preserve">Engineer triggers rollout via Gitea Actions workflow (tenant-update.yml) or Hub admin API.</w:t>
      </w:r>
    </w:p>
    <w:p>
      <w:pPr>
        <w:pStyle w:val="ListParagraph"/>
        <w:numPr>
          <w:ilvl w:val="0"/>
          <w:numId w:val="3"/>
        </w:numPr>
        <w:spacing w:after="60"/>
      </w:pPr>
      <w:r>
        <w:rPr>
          <w:rFonts w:ascii="Arial" w:cs="Arial" w:eastAsia="Arial" w:hAnsi="Arial"/>
          <w:sz w:val="22"/>
          <w:szCs w:val="22"/>
        </w:rPr>
        <w:t xml:space="preserve">Hub creates update task for each tenant in the selected stage.</w:t>
      </w:r>
    </w:p>
    <w:p>
      <w:pPr>
        <w:pStyle w:val="ListParagraph"/>
        <w:numPr>
          <w:ilvl w:val="0"/>
          <w:numId w:val="3"/>
        </w:numPr>
        <w:spacing w:after="60"/>
      </w:pPr>
      <w:r>
        <w:rPr>
          <w:rFonts w:ascii="Arial" w:cs="Arial" w:eastAsia="Arial" w:hAnsi="Arial"/>
          <w:sz w:val="22"/>
          <w:szCs w:val="22"/>
        </w:rPr>
        <w:t xml:space="preserve">Safety Wrapper on each tenant receives update command via heartbeat protocol.</w:t>
      </w:r>
    </w:p>
    <w:p>
      <w:pPr>
        <w:pStyle w:val="ListParagraph"/>
        <w:numPr>
          <w:ilvl w:val="0"/>
          <w:numId w:val="3"/>
        </w:numPr>
        <w:spacing w:after="60"/>
      </w:pPr>
      <w:r>
        <w:rPr>
          <w:rFonts w:ascii="Arial" w:cs="Arial" w:eastAsia="Arial" w:hAnsi="Arial"/>
          <w:sz w:val="22"/>
          <w:szCs w:val="22"/>
        </w:rPr>
        <w:t xml:space="preserve">Safety Wrapper pulls new OpenClaw image from Gitea Container Registry.</w:t>
      </w:r>
    </w:p>
    <w:p>
      <w:pPr>
        <w:pStyle w:val="ListParagraph"/>
        <w:numPr>
          <w:ilvl w:val="0"/>
          <w:numId w:val="3"/>
        </w:numPr>
        <w:spacing w:after="60"/>
      </w:pPr>
      <w:r>
        <w:rPr>
          <w:rFonts w:ascii="Arial" w:cs="Arial" w:eastAsia="Arial" w:hAnsi="Arial"/>
          <w:sz w:val="22"/>
          <w:szCs w:val="22"/>
        </w:rPr>
        <w:t xml:space="preserve">Safety Wrapper performs rolling restart: stop old container, start new container, health check.</w:t>
      </w:r>
    </w:p>
    <w:p>
      <w:pPr>
        <w:pStyle w:val="ListParagraph"/>
        <w:numPr>
          <w:ilvl w:val="0"/>
          <w:numId w:val="3"/>
        </w:numPr>
        <w:spacing w:after="60"/>
      </w:pPr>
      <w:r>
        <w:rPr>
          <w:rFonts w:ascii="Arial" w:cs="Arial" w:eastAsia="Arial" w:hAnsi="Arial"/>
          <w:sz w:val="22"/>
          <w:szCs w:val="22"/>
        </w:rPr>
        <w:t xml:space="preserve">If health check fails: automatic rollback to previous image. Hub is notified.</w:t>
      </w:r>
    </w:p>
    <w:p>
      <w:pPr>
        <w:pStyle w:val="ListParagraph"/>
        <w:numPr>
          <w:ilvl w:val="0"/>
          <w:numId w:val="3"/>
        </w:numPr>
        <w:spacing w:after="60"/>
      </w:pPr>
      <w:r>
        <w:rPr>
          <w:rFonts w:ascii="Arial" w:cs="Arial" w:eastAsia="Arial" w:hAnsi="Arial"/>
          <w:sz w:val="22"/>
          <w:szCs w:val="22"/>
        </w:rPr>
        <w:t xml:space="preserve">If health check passes: Safety Wrapper reports success to Hub. Move to next stage after soak period.</w:t>
      </w:r>
    </w:p>
    <w:p>
      <w:pPr>
        <w:pStyle w:val="Heading2"/>
      </w:pPr>
      <w:r>
        <w:t xml:space="preserve">6.3 Rollback</w:t>
      </w:r>
    </w:p>
    <w:p>
      <w:pPr>
        <w:spacing w:after="120"/>
      </w:pPr>
      <w:r>
        <w:rPr>
          <w:rFonts w:ascii="Arial" w:cs="Arial" w:eastAsia="Arial" w:hAnsi="Arial"/>
          <w:sz w:val="22"/>
          <w:szCs w:val="22"/>
        </w:rPr>
        <w:t xml:space="preserve">Rollback is always available because the previous Docker image tag is retained on each tenant VPS. Rollback can be triggered automatically (health check failure) or manually (Hub admin API or Gitea Actions workflow).</w:t>
      </w:r>
    </w:p>
    <w:p>
      <w:pPr>
        <w:spacing w:after="120"/>
      </w:pPr>
      <w:r>
        <w:rPr>
          <w:rFonts w:ascii="Arial" w:cs="Arial" w:eastAsia="Arial" w:hAnsi="Arial"/>
          <w:b/>
          <w:bCs/>
          <w:sz w:val="22"/>
          <w:szCs w:val="22"/>
        </w:rPr>
        <w:t xml:space="preserve">Automatic rollback triggers:</w:t>
      </w:r>
    </w:p>
    <w:p>
      <w:pPr>
        <w:pStyle w:val="ListParagraph"/>
        <w:numPr>
          <w:ilvl w:val="0"/>
          <w:numId w:val="2"/>
        </w:numPr>
        <w:spacing w:after="60"/>
      </w:pPr>
      <w:r>
        <w:rPr>
          <w:rFonts w:ascii="Arial" w:cs="Arial" w:eastAsia="Arial" w:hAnsi="Arial"/>
          <w:sz w:val="22"/>
          <w:szCs w:val="22"/>
        </w:rPr>
        <w:t xml:space="preserve">Health check fails 3 consecutive times after container restart</w:t>
      </w:r>
    </w:p>
    <w:p>
      <w:pPr>
        <w:pStyle w:val="ListParagraph"/>
        <w:numPr>
          <w:ilvl w:val="0"/>
          <w:numId w:val="2"/>
        </w:numPr>
        <w:spacing w:after="60"/>
      </w:pPr>
      <w:r>
        <w:rPr>
          <w:rFonts w:ascii="Arial" w:cs="Arial" w:eastAsia="Arial" w:hAnsi="Arial"/>
          <w:sz w:val="22"/>
          <w:szCs w:val="22"/>
        </w:rPr>
        <w:t xml:space="preserve">Secrets Proxy health endpoint returns error after OpenClaw restart</w:t>
      </w:r>
    </w:p>
    <w:p>
      <w:pPr>
        <w:pStyle w:val="ListParagraph"/>
        <w:numPr>
          <w:ilvl w:val="0"/>
          <w:numId w:val="2"/>
        </w:numPr>
        <w:spacing w:after="60"/>
      </w:pPr>
      <w:r>
        <w:rPr>
          <w:rFonts w:ascii="Arial" w:cs="Arial" w:eastAsia="Arial" w:hAnsi="Arial"/>
          <w:sz w:val="22"/>
          <w:szCs w:val="22"/>
        </w:rPr>
        <w:t xml:space="preserve">Safety Wrapper loses connectivity to OpenClaw for &gt;60 seconds</w:t>
      </w:r>
    </w:p>
    <w:p>
      <w:pPr>
        <w:spacing w:after="120"/>
      </w:pPr>
      <w:r>
        <w:rPr>
          <w:rFonts w:ascii="Arial" w:cs="Arial" w:eastAsia="Arial" w:hAnsi="Arial"/>
          <w:b/>
          <w:bCs/>
          <w:sz w:val="22"/>
          <w:szCs w:val="22"/>
        </w:rPr>
        <w:t xml:space="preserve">Manual rollback:</w:t>
      </w:r>
    </w:p>
    <w:p>
      <w:pPr>
        <w:pStyle w:val="ListParagraph"/>
        <w:numPr>
          <w:ilvl w:val="0"/>
          <w:numId w:val="2"/>
        </w:numPr>
        <w:spacing w:after="60"/>
      </w:pPr>
      <w:r>
        <w:rPr>
          <w:rFonts w:ascii="Arial" w:cs="Arial" w:eastAsia="Arial" w:hAnsi="Arial"/>
          <w:sz w:val="22"/>
          <w:szCs w:val="22"/>
        </w:rPr>
        <w:t xml:space="preserve">Triggered via Hub admin dashboard or tenant-update.yml workflow with previous version tag</w:t>
      </w:r>
    </w:p>
    <w:p>
      <w:pPr>
        <w:pStyle w:val="ListParagraph"/>
        <w:numPr>
          <w:ilvl w:val="0"/>
          <w:numId w:val="2"/>
        </w:numPr>
        <w:spacing w:after="60"/>
      </w:pPr>
      <w:r>
        <w:rPr>
          <w:rFonts w:ascii="Arial" w:cs="Arial" w:eastAsia="Arial" w:hAnsi="Arial"/>
          <w:sz w:val="22"/>
          <w:szCs w:val="22"/>
        </w:rPr>
        <w:t xml:space="preserve">Can target individual tenants, a stage group, or all tenants</w:t>
      </w:r>
    </w:p>
    <w:p>
      <w:r>
        <w:br w:type="page"/>
      </w:r>
    </w:p>
    <w:p>
      <w:pPr>
        <w:pStyle w:val="Heading1"/>
      </w:pPr>
      <w:r>
        <w:t xml:space="preserve">7. Emergency Security Upgrades</w:t>
      </w:r>
    </w:p>
    <w:p>
      <w:pPr>
        <w:spacing w:after="120"/>
      </w:pPr>
      <w:r>
        <w:rPr>
          <w:rFonts w:ascii="Arial" w:cs="Arial" w:eastAsia="Arial" w:hAnsi="Arial"/>
          <w:sz w:val="22"/>
          <w:szCs w:val="22"/>
        </w:rPr>
        <w:t xml:space="preserve">If OpenClaw publishes a security fix (CVE, critical vulnerability), the bi-weekly schedule is bypassed. The process:</w:t>
      </w:r>
    </w:p>
    <w:p>
      <w:pPr>
        <w:pStyle w:val="ListParagraph"/>
        <w:numPr>
          <w:ilvl w:val="0"/>
          <w:numId w:val="4"/>
        </w:numPr>
        <w:spacing w:after="60"/>
      </w:pPr>
      <w:r>
        <w:rPr>
          <w:rFonts w:ascii="Arial" w:cs="Arial" w:eastAsia="Arial" w:hAnsi="Arial"/>
          <w:sz w:val="22"/>
          <w:szCs w:val="22"/>
        </w:rPr>
        <w:t xml:space="preserve">Security fix identified (via OpenClaw releases, GitHub advisories, or community reports).</w:t>
      </w:r>
    </w:p>
    <w:p>
      <w:pPr>
        <w:pStyle w:val="ListParagraph"/>
        <w:numPr>
          <w:ilvl w:val="0"/>
          <w:numId w:val="4"/>
        </w:numPr>
        <w:spacing w:after="60"/>
      </w:pPr>
      <w:r>
        <w:rPr>
          <w:rFonts w:ascii="Arial" w:cs="Arial" w:eastAsia="Arial" w:hAnsi="Arial"/>
          <w:sz w:val="22"/>
          <w:szCs w:val="22"/>
        </w:rPr>
        <w:t xml:space="preserve">Engineer assesses impact: does the vulnerability affect LetsBe tenants? (If it only affects features we do not use, it can wait for the next bi-weekly review.)</w:t>
      </w:r>
    </w:p>
    <w:p>
      <w:pPr>
        <w:pStyle w:val="ListParagraph"/>
        <w:numPr>
          <w:ilvl w:val="0"/>
          <w:numId w:val="4"/>
        </w:numPr>
        <w:spacing w:after="60"/>
      </w:pPr>
      <w:r>
        <w:rPr>
          <w:rFonts w:ascii="Arial" w:cs="Arial" w:eastAsia="Arial" w:hAnsi="Arial"/>
          <w:sz w:val="22"/>
          <w:szCs w:val="22"/>
        </w:rPr>
        <w:t xml:space="preserve">If affected: run abbreviated compatibility checklist (Sections 5.2 and 5.3 only — skip performance checks).</w:t>
      </w:r>
    </w:p>
    <w:p>
      <w:pPr>
        <w:pStyle w:val="ListParagraph"/>
        <w:numPr>
          <w:ilvl w:val="0"/>
          <w:numId w:val="4"/>
        </w:numPr>
        <w:spacing w:after="60"/>
      </w:pPr>
      <w:r>
        <w:rPr>
          <w:rFonts w:ascii="Arial" w:cs="Arial" w:eastAsia="Arial" w:hAnsi="Arial"/>
          <w:sz w:val="22"/>
          <w:szCs w:val="22"/>
        </w:rPr>
        <w:t xml:space="preserve">Deploy to staging, verify fix is applied, soak for 4 hours (not 48).</w:t>
      </w:r>
    </w:p>
    <w:p>
      <w:pPr>
        <w:pStyle w:val="ListParagraph"/>
        <w:numPr>
          <w:ilvl w:val="0"/>
          <w:numId w:val="4"/>
        </w:numPr>
        <w:spacing w:after="60"/>
      </w:pPr>
      <w:r>
        <w:rPr>
          <w:rFonts w:ascii="Arial" w:cs="Arial" w:eastAsia="Arial" w:hAnsi="Arial"/>
          <w:sz w:val="22"/>
          <w:szCs w:val="22"/>
        </w:rPr>
        <w:t xml:space="preserve">Roll out to all tenants immediately (skip canary stages).</w:t>
      </w:r>
    </w:p>
    <w:p>
      <w:pPr>
        <w:pStyle w:val="ListParagraph"/>
        <w:numPr>
          <w:ilvl w:val="0"/>
          <w:numId w:val="4"/>
        </w:numPr>
        <w:spacing w:after="60"/>
      </w:pPr>
      <w:r>
        <w:rPr>
          <w:rFonts w:ascii="Arial" w:cs="Arial" w:eastAsia="Arial" w:hAnsi="Arial"/>
          <w:sz w:val="22"/>
          <w:szCs w:val="22"/>
        </w:rPr>
        <w:t xml:space="preserve">Post-mortem if the vulnerability was actively exploited.</w:t>
      </w:r>
    </w:p>
    <w:p>
      <w:pPr>
        <w:pStyle w:val="Heading1"/>
      </w:pPr>
      <w:r>
        <w:t xml:space="preserve">8. Tracking and Documentation</w:t>
      </w:r>
    </w:p>
    <w:p>
      <w:pPr>
        <w:spacing w:after="120"/>
      </w:pPr>
      <w:r>
        <w:rPr>
          <w:rFonts w:ascii="Arial" w:cs="Arial" w:eastAsia="Arial" w:hAnsi="Arial"/>
          <w:sz w:val="22"/>
          <w:szCs w:val="22"/>
        </w:rPr>
        <w:t xml:space="preserve">Every OpenClaw version change must be documented. This creates an audit trail for security reviews and customer inquiries.</w:t>
      </w:r>
    </w:p>
    <w:p>
      <w:pPr>
        <w:pStyle w:val="Heading2"/>
      </w:pPr>
      <w:r>
        <w:t xml:space="preserve">8.1 What to Record</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00"/>
        <w:gridCol w:w="6026"/>
      </w:tblGrid>
      <w:tr>
        <w:tc>
          <w:tcPr>
            <w:tcW w:type="dxa" w:w="3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Field</w:t>
            </w:r>
          </w:p>
        </w:tc>
        <w:tc>
          <w:tcPr>
            <w:tcW w:type="dxa" w:w="60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Example</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Previous version</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2026.2.6-3</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New version</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2026.2.26</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Date of upgrade</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2026-02-27</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Engineer</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Jane (or role: On-Call Engineer)</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Reason for upgrade</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New secrets management CLI commands; bug fix for session persistence</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Changelog items reviewed</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Link to GitHub release page</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Compatibility checklist result</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All 16 items passed (link to checklist log)</w:t>
            </w:r>
          </w:p>
        </w:tc>
      </w:tr>
      <w:tr>
        <w:tc>
          <w:tcPr>
            <w:tcW w:type="dxa" w:w="3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Rollout stages completed</w:t>
            </w:r>
          </w:p>
        </w:tc>
        <w:tc>
          <w:tcPr>
            <w:tcW w:type="dxa" w:w="60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Staging → 5% canary → 25% → 100%</w:t>
            </w:r>
          </w:p>
        </w:tc>
      </w:tr>
      <w:tr>
        <w:tc>
          <w:tcPr>
            <w:tcW w:type="dxa" w:w="3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Issues encountered</w:t>
            </w:r>
          </w:p>
        </w:tc>
        <w:tc>
          <w:tcPr>
            <w:tcW w:type="dxa" w:w="60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None (or: performance regression in cold start, mitigated by increasing container memory)</w:t>
            </w:r>
          </w:p>
        </w:tc>
      </w:tr>
    </w:tbl>
    <w:p>
      <w:pPr>
        <w:pStyle w:val="Heading2"/>
      </w:pPr>
      <w:r>
        <w:t xml:space="preserve">8.2 Where to Record</w:t>
      </w:r>
    </w:p>
    <w:p>
      <w:pPr>
        <w:pStyle w:val="ListParagraph"/>
        <w:numPr>
          <w:ilvl w:val="0"/>
          <w:numId w:val="2"/>
        </w:numPr>
        <w:spacing w:after="60"/>
      </w:pPr>
      <w:r>
        <w:rPr>
          <w:rFonts w:ascii="Arial" w:cs="Arial" w:eastAsia="Arial" w:hAnsi="Arial"/>
          <w:sz w:val="22"/>
          <w:szCs w:val="22"/>
        </w:rPr>
        <w:t xml:space="preserve">Git commit message on the PR that updates the pinned version</w:t>
      </w:r>
    </w:p>
    <w:p>
      <w:pPr>
        <w:pStyle w:val="ListParagraph"/>
        <w:numPr>
          <w:ilvl w:val="0"/>
          <w:numId w:val="2"/>
        </w:numPr>
        <w:spacing w:after="60"/>
      </w:pPr>
      <w:r>
        <w:rPr>
          <w:rFonts w:ascii="Arial" w:cs="Arial" w:eastAsia="Arial" w:hAnsi="Arial"/>
          <w:sz w:val="22"/>
          <w:szCs w:val="22"/>
        </w:rPr>
        <w:t xml:space="preserve">Hub admin dashboard: version history per tenant (populated automatically by rollout API)</w:t>
      </w:r>
    </w:p>
    <w:p>
      <w:pPr>
        <w:pStyle w:val="ListParagraph"/>
        <w:numPr>
          <w:ilvl w:val="0"/>
          <w:numId w:val="2"/>
        </w:numPr>
        <w:spacing w:after="60"/>
      </w:pPr>
      <w:r>
        <w:rPr>
          <w:rFonts w:ascii="Arial" w:cs="Arial" w:eastAsia="Arial" w:hAnsi="Arial"/>
          <w:sz w:val="22"/>
          <w:szCs w:val="22"/>
        </w:rPr>
        <w:t xml:space="preserve">docs/operations/openclaw-upgrade-log.md — append-only log of all upgrades with the fields above</w:t>
      </w:r>
    </w:p>
    <w:p>
      <w:pPr>
        <w:pStyle w:val="Heading1"/>
      </w:pPr>
      <w:r>
        <w:t xml:space="preserve">9. Current State and Next Steps</w:t>
      </w:r>
    </w:p>
    <w:p>
      <w:pPr>
        <w:spacing w:after="120"/>
      </w:pPr>
      <w:r>
        <w:rPr>
          <w:rFonts w:ascii="Arial" w:cs="Arial" w:eastAsia="Arial" w:hAnsi="Arial"/>
          <w:sz w:val="22"/>
          <w:szCs w:val="22"/>
        </w:rPr>
        <w:t xml:space="preserve">As of February 27, 2026, the following is the current state of OpenClaw version management:</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500"/>
        <w:gridCol w:w="3200"/>
        <w:gridCol w:w="3326"/>
      </w:tblGrid>
      <w:tr>
        <w:tc>
          <w:tcPr>
            <w:tcW w:type="dxa" w:w="2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Item</w:t>
            </w:r>
          </w:p>
        </w:tc>
        <w:tc>
          <w:tcPr>
            <w:tcW w:type="dxa" w:w="32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Current State</w:t>
            </w:r>
          </w:p>
        </w:tc>
        <w:tc>
          <w:tcPr>
            <w:tcW w:type="dxa" w:w="33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Target State</w:t>
            </w:r>
          </w:p>
        </w:tc>
      </w:tr>
      <w:tr>
        <w:tc>
          <w:tcPr>
            <w:tcW w:type="dxa" w:w="2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Version pinning</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Architecture proposes FROM openclaw/openclaw:2026.2.6-3; workspace has git clone at 2026.2.26</w:t>
            </w:r>
          </w:p>
        </w:tc>
        <w:tc>
          <w:tcPr>
            <w:tcW w:type="dxa" w:w="33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Docker image tag in Dockerfile (FROM openclaw/openclaw:&lt;tag&gt;)</w:t>
            </w:r>
          </w:p>
        </w:tc>
      </w:tr>
      <w:tr>
        <w:tc>
          <w:tcPr>
            <w:tcW w:type="dxa" w:w="2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Staging VPS</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VPS can be spun up easily; provisioning script needs update</w:t>
            </w:r>
          </w:p>
        </w:tc>
        <w:tc>
          <w:tcPr>
            <w:tcW w:type="dxa" w:w="33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Dedicated staging VPS with automated provisioning</w:t>
            </w:r>
          </w:p>
        </w:tc>
      </w:tr>
      <w:tr>
        <w:tc>
          <w:tcPr>
            <w:tcW w:type="dxa" w:w="2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Compatibility test suite</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Not yet built</w:t>
            </w:r>
          </w:p>
        </w:tc>
        <w:tc>
          <w:tcPr>
            <w:tcW w:type="dxa" w:w="33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Automated test suite covering all items in Section 5</w:t>
            </w:r>
          </w:p>
        </w:tc>
      </w:tr>
      <w:tr>
        <w:tc>
          <w:tcPr>
            <w:tcW w:type="dxa" w:w="2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Bi-weekly review cadence</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Not yet established</w:t>
            </w:r>
          </w:p>
        </w:tc>
        <w:tc>
          <w:tcPr>
            <w:tcW w:type="dxa" w:w="33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Recurring calendar event, rotating engineer assignment</w:t>
            </w:r>
          </w:p>
        </w:tc>
      </w:tr>
      <w:tr>
        <w:tc>
          <w:tcPr>
            <w:tcW w:type="dxa" w:w="2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Rollout pipeline</w:t>
            </w:r>
          </w:p>
        </w:tc>
        <w:tc>
          <w:tcPr>
            <w:tcW w:type="dxa" w:w="32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Architecture defined (tenant-update.yml), not yet implemented</w:t>
            </w:r>
          </w:p>
        </w:tc>
        <w:tc>
          <w:tcPr>
            <w:tcW w:type="dxa" w:w="33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Working Gitea Actions workflow with staged rollout</w:t>
            </w:r>
          </w:p>
        </w:tc>
      </w:tr>
      <w:tr>
        <w:tc>
          <w:tcPr>
            <w:tcW w:type="dxa" w:w="2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Upgrade log</w:t>
            </w:r>
          </w:p>
        </w:tc>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Does not exist</w:t>
            </w:r>
          </w:p>
        </w:tc>
        <w:tc>
          <w:tcPr>
            <w:tcW w:type="dxa" w:w="3326"/>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sz w:val="20"/>
                <w:szCs w:val="20"/>
              </w:rPr>
              <w:t xml:space="preserve">Append-only log in docs/operations/</w:t>
            </w:r>
          </w:p>
        </w:tc>
      </w:tr>
    </w:tbl>
    <w:p>
      <w:pPr>
        <w:spacing w:after="120"/>
      </w:pPr>
      <w:r>
        <w:rPr>
          <w:rFonts w:ascii="Arial" w:cs="Arial" w:eastAsia="Arial" w:hAnsi="Arial"/>
          <w:b/>
          <w:bCs/>
          <w:sz w:val="22"/>
          <w:szCs w:val="22"/>
        </w:rPr>
        <w:t xml:space="preserve">Immediate next steps:</w:t>
      </w:r>
    </w:p>
    <w:p>
      <w:pPr>
        <w:pStyle w:val="ListParagraph"/>
        <w:numPr>
          <w:ilvl w:val="0"/>
          <w:numId w:val="5"/>
        </w:numPr>
        <w:spacing w:after="60"/>
      </w:pPr>
      <w:r>
        <w:rPr>
          <w:rFonts w:ascii="Arial" w:cs="Arial" w:eastAsia="Arial" w:hAnsi="Arial"/>
          <w:sz w:val="22"/>
          <w:szCs w:val="22"/>
        </w:rPr>
        <w:t xml:space="preserve">Pin OpenClaw to a tested Docker image tag in packages/openclaw-image/Dockerfile. Architecture proposes 2026.2.6-3; evaluate upgrading to 2026.2.26 using the checklist in Section 5.</w:t>
      </w:r>
    </w:p>
    <w:p>
      <w:pPr>
        <w:pStyle w:val="ListParagraph"/>
        <w:numPr>
          <w:ilvl w:val="0"/>
          <w:numId w:val="5"/>
        </w:numPr>
        <w:spacing w:after="60"/>
      </w:pPr>
      <w:r>
        <w:rPr>
          <w:rFonts w:ascii="Arial" w:cs="Arial" w:eastAsia="Arial" w:hAnsi="Arial"/>
          <w:sz w:val="22"/>
          <w:szCs w:val="22"/>
        </w:rPr>
        <w:t xml:space="preserve">Provision staging VPS (update ansible provisioning script, spin up VPS).</w:t>
      </w:r>
    </w:p>
    <w:p>
      <w:pPr>
        <w:pStyle w:val="ListParagraph"/>
        <w:numPr>
          <w:ilvl w:val="0"/>
          <w:numId w:val="5"/>
        </w:numPr>
        <w:spacing w:after="60"/>
      </w:pPr>
      <w:r>
        <w:rPr>
          <w:rFonts w:ascii="Arial" w:cs="Arial" w:eastAsia="Arial" w:hAnsi="Arial"/>
          <w:sz w:val="22"/>
          <w:szCs w:val="22"/>
        </w:rPr>
        <w:t xml:space="preserve">Create docs/operations/openclaw-upgrade-log.md with the current version as the first entry.</w:t>
      </w:r>
    </w:p>
    <w:p>
      <w:pPr>
        <w:pStyle w:val="ListParagraph"/>
        <w:numPr>
          <w:ilvl w:val="0"/>
          <w:numId w:val="5"/>
        </w:numPr>
        <w:spacing w:after="60"/>
      </w:pPr>
      <w:r>
        <w:rPr>
          <w:rFonts w:ascii="Arial" w:cs="Arial" w:eastAsia="Arial" w:hAnsi="Arial"/>
          <w:sz w:val="22"/>
          <w:szCs w:val="22"/>
        </w:rPr>
        <w:t xml:space="preserve">Schedule bi-weekly review in team calendar.</w:t>
      </w:r>
    </w:p>
    <w:p>
      <w:pPr>
        <w:pStyle w:val="ListParagraph"/>
        <w:numPr>
          <w:ilvl w:val="0"/>
          <w:numId w:val="5"/>
        </w:numPr>
        <w:spacing w:after="60"/>
      </w:pPr>
      <w:r>
        <w:rPr>
          <w:rFonts w:ascii="Arial" w:cs="Arial" w:eastAsia="Arial" w:hAnsi="Arial"/>
          <w:sz w:val="22"/>
          <w:szCs w:val="22"/>
        </w:rPr>
        <w:t xml:space="preserve">Build compatibility test suite (start with Sections 5.2 and 5.3, expand to full checklist over time).</w:t>
      </w:r>
    </w:p>
    <w:p>
      <w:r>
        <w:br w:type="page"/>
      </w:r>
    </w:p>
    <w:p>
      <w:pPr>
        <w:pStyle w:val="Heading1"/>
      </w:pPr>
      <w:r>
        <w:t xml:space="preserve">10. Revision History</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000"/>
        <w:gridCol w:w="1500"/>
        <w:gridCol w:w="2000"/>
        <w:gridCol w:w="4526"/>
      </w:tblGrid>
      <w:tr>
        <w:tc>
          <w:tcPr>
            <w:tcW w:type="dxa" w:w="1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Version</w:t>
            </w:r>
          </w:p>
        </w:tc>
        <w:tc>
          <w:tcPr>
            <w:tcW w:type="dxa" w:w="15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Date</w:t>
            </w:r>
          </w:p>
        </w:tc>
        <w:tc>
          <w:tcPr>
            <w:tcW w:type="dxa" w:w="2000"/>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Author</w:t>
            </w:r>
          </w:p>
        </w:tc>
        <w:tc>
          <w:tcPr>
            <w:tcW w:type="dxa" w:w="4526"/>
            <w:tcBorders>
              <w:top w:val="single" w:color="CCCCCC" w:sz="1"/>
              <w:left w:val="single" w:color="CCCCCC" w:sz="1"/>
              <w:bottom w:val="single" w:color="CCCCCC" w:sz="1"/>
              <w:right w:val="single" w:color="CCCCCC" w:sz="1"/>
            </w:tcBorders>
            <w:shd w:fill="1B3A5C" w:val="clear"/>
            <w:tcMar>
              <w:top w:type="dxa" w:w="80"/>
              <w:left w:type="dxa" w:w="120"/>
              <w:bottom w:type="dxa" w:w="80"/>
              <w:right w:type="dxa" w:w="120"/>
            </w:tcMar>
          </w:tcPr>
          <w:p>
            <w:r>
              <w:rPr>
                <w:rFonts w:ascii="Arial" w:cs="Arial" w:eastAsia="Arial" w:hAnsi="Arial"/>
                <w:b/>
                <w:bCs/>
                <w:color w:val="FFFFFF"/>
                <w:sz w:val="20"/>
                <w:szCs w:val="20"/>
              </w:rPr>
              <w:t xml:space="preserve">Changes</w:t>
            </w:r>
          </w:p>
        </w:tc>
      </w:tr>
      <w:tr>
        <w:tc>
          <w:tcPr>
            <w:tcW w:type="dxa" w:w="1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1.0</w:t>
            </w:r>
          </w:p>
        </w:tc>
        <w:tc>
          <w:tcPr>
            <w:tcW w:type="dxa" w:w="15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2026-02-27</w:t>
            </w:r>
          </w:p>
        </w:tc>
        <w:tc>
          <w:tcPr>
            <w:tcW w:type="dxa" w:w="2000"/>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Matt + Claude</w:t>
            </w:r>
          </w:p>
        </w:tc>
        <w:tc>
          <w:tcPr>
            <w:tcW w:type="dxa" w:w="4526"/>
            <w:tcBorders>
              <w:top w:val="single" w:color="CCCCCC" w:sz="1"/>
              <w:left w:val="single" w:color="CCCCCC" w:sz="1"/>
              <w:bottom w:val="single" w:color="CCCCCC" w:sz="1"/>
              <w:right w:val="single" w:color="CCCCCC" w:sz="1"/>
            </w:tcBorders>
            <w:shd w:fill="F2F7FB" w:val="clear"/>
            <w:tcMar>
              <w:top w:type="dxa" w:w="80"/>
              <w:left w:type="dxa" w:w="120"/>
              <w:bottom w:type="dxa" w:w="80"/>
              <w:right w:type="dxa" w:w="120"/>
            </w:tcMar>
          </w:tcPr>
          <w:p>
            <w:r>
              <w:rPr>
                <w:rFonts w:ascii="Arial" w:cs="Arial" w:eastAsia="Arial" w:hAnsi="Arial"/>
                <w:sz w:val="20"/>
                <w:szCs w:val="20"/>
              </w:rPr>
              <w:t xml:space="preserve">Initial version. Established bi-weekly cadence, compatibility checklist, staged rollout.</w:t>
            </w:r>
          </w:p>
        </w:tc>
      </w:tr>
    </w:tbl>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CCCCC" w:sz="4" w:space="1"/>
      </w:pBdr>
      <w:tabs>
        <w:tab w:val="right" w:pos="9026"/>
      </w:tabs>
    </w:pPr>
    <w:r>
      <w:rPr>
        <w:rFonts w:ascii="Arial" w:cs="Arial" w:eastAsia="Arial" w:hAnsi="Arial"/>
        <w:color w:val="888888"/>
        <w:sz w:val="16"/>
        <w:szCs w:val="16"/>
      </w:rPr>
      <w:t xml:space="preserve">LetsBe Biz — Confidential</w:t>
    </w:r>
    <w:r>
      <w:rPr>
        <w:rFonts w:ascii="Arial" w:cs="Arial" w:eastAsia="Arial" w:hAnsi="Arial"/>
        <w:color w:val="888888"/>
        <w:sz w:val="16"/>
        <w:szCs w:val="16"/>
      </w:rPr>
      <w:t xml:space="preserve">	Page </w:t>
    </w:r>
    <w:r>
      <w:rPr>
        <w:rFonts w:ascii="Arial" w:cs="Arial" w:eastAsia="Arial" w:hAnsi="Arial"/>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CCCCCC" w:sz="4" w:space="1"/>
      </w:pBdr>
      <w:tabs>
        <w:tab w:val="right" w:pos="9026"/>
      </w:tabs>
    </w:pPr>
    <w:r>
      <w:rPr>
        <w:rFonts w:ascii="Arial" w:cs="Arial" w:eastAsia="Arial" w:hAnsi="Arial"/>
        <w:color w:val="888888"/>
        <w:sz w:val="18"/>
        <w:szCs w:val="18"/>
      </w:rPr>
      <w:t xml:space="preserve">LetsBe Biz — OpenClaw Version Management Policy</w:t>
    </w:r>
    <w:r>
      <w:rPr>
        <w:rFonts w:ascii="Arial" w:cs="Arial" w:eastAsia="Arial" w:hAnsi="Arial"/>
        <w:b/>
        <w:bCs/>
        <w:color w:val="CC0000"/>
        <w:sz w:val="18"/>
        <w:szCs w:val="18"/>
      </w:rPr>
      <w:t xml:space="preserve">	INTERNAL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abstractNum w:abstractNumId="4" w15:restartNumberingAfterBreak="0">
    <w:multiLevelType w:val="hybridMultilevel"/>
    <w:lvl w:ilvl="0" w15:tentative="1">
      <w:start w:val="1"/>
      <w:numFmt w:val="decimal"/>
      <w:lvlText w:val="%1."/>
      <w:lvlJc w:val="left"/>
      <w:pPr>
        <w:ind w:left="720" w:hanging="360"/>
      </w:pPr>
    </w:lvl>
  </w:abstractNum>
  <w:abstractNum w:abstractNumId="5" w15:restartNumberingAfterBreak="0">
    <w:multiLevelType w:val="hybridMultilevel"/>
    <w:lvl w:ilvl="0" w15:tentative="1">
      <w:start w:val="1"/>
      <w:numFmt w:val="decimal"/>
      <w:lvlText w:val="%1."/>
      <w:lvlJc w:val="left"/>
      <w:pPr>
        <w:ind w:left="720" w:hanging="360"/>
      </w:pPr>
    </w:lvl>
  </w:abstractNum>
  <w:abstractNum w:abstractNumId="6" w15:restartNumberingAfterBreak="0">
    <w:multiLevelType w:val="hybridMultilevel"/>
    <w:lvl w:ilvl="0" w15:tentative="1">
      <w:start w:val="1"/>
      <w:numFmt w:val="decimal"/>
      <w:lvlText w:val="%1."/>
      <w:lvlJc w:val="left"/>
      <w:pPr>
        <w:ind w:left="720" w:hanging="360"/>
      </w:pPr>
    </w:lvl>
  </w:abstractNum>
  <w:abstractNum w:abstractNumId="7" w15:restartNumberingAfterBreak="0">
    <w:multiLevelType w:val="hybridMultilevel"/>
    <w:lvl w:ilvl="0" w15:tentative="1">
      <w:start w:val="1"/>
      <w:numFmt w:val="decimal"/>
      <w:lvlText w:val="%1."/>
      <w:lvlJc w:val="left"/>
      <w:pPr>
        <w:ind w:left="720" w:hanging="360"/>
      </w:pPr>
    </w:lvl>
  </w:abstractNum>
  <w:abstractNum w:abstractNumId="8"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 w:numId="4">
    <w:abstractNumId w:val="4"/>
    <w:lvlOverride w:ilvl="0">
      <w:startOverride w:val="1"/>
    </w:lvlOverride>
  </w:num>
  <w:num w:numId="5">
    <w:abstractNumId w:val="5"/>
    <w:lvlOverride w:ilvl="0">
      <w:startOverride w:val="1"/>
    </w:lvlOverride>
  </w:num>
  <w:num w:numId="6">
    <w:abstractNumId w:val="6"/>
    <w:lvlOverride w:ilvl="0">
      <w:startOverride w:val="1"/>
    </w:lvlOverride>
  </w:num>
  <w:num w:numId="7">
    <w:abstractNumId w:val="7"/>
    <w:lvlOverride w:ilvl="0">
      <w:startOverride w:val="1"/>
    </w:lvlOverride>
  </w:num>
  <w:num w:numId="8">
    <w:abstractNumId w:val="8"/>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1B3A5C"/>
      <w:sz w:val="32"/>
      <w:szCs w:val="32"/>
    </w:rPr>
  </w:style>
  <w:style w:type="paragraph" w:styleId="Heading2">
    <w:name w:val="Heading 2"/>
    <w:basedOn w:val="Normal"/>
    <w:next w:val="Normal"/>
    <w:qFormat/>
    <w:pPr>
      <w:spacing w:after="160" w:before="280"/>
      <w:outlineLvl w:val="1"/>
    </w:pPr>
    <w:rPr>
      <w:rFonts w:ascii="Arial" w:cs="Arial" w:eastAsia="Arial" w:hAnsi="Arial"/>
      <w:b/>
      <w:bCs/>
      <w:color w:val="2E5A88"/>
      <w:sz w:val="28"/>
      <w:szCs w:val="28"/>
    </w:rPr>
  </w:style>
  <w:style w:type="paragraph" w:styleId="Heading3">
    <w:name w:val="Heading 3"/>
    <w:basedOn w:val="Normal"/>
    <w:next w:val="Normal"/>
    <w:qFormat/>
    <w:pPr>
      <w:spacing w:after="120" w:before="200"/>
      <w:outlineLvl w:val="2"/>
    </w:pPr>
    <w:rPr>
      <w:rFonts w:ascii="Arial" w:cs="Arial" w:eastAsia="Arial" w:hAnsi="Arial"/>
      <w:b/>
      <w:bCs/>
      <w:color w:val="3D7ABF"/>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2026-02-27T15:02:38.641Z</dcterms:created>
  <dcterms:modified xsi:type="dcterms:W3CDTF">2026-02-27T15:02:38.641Z</dcterms:modified>
</cp:coreProperties>
</file>

<file path=docProps/custom.xml><?xml version="1.0" encoding="utf-8"?>
<Properties xmlns="http://schemas.openxmlformats.org/officeDocument/2006/custom-properties" xmlns:vt="http://schemas.openxmlformats.org/officeDocument/2006/docPropsVTypes"/>
</file>